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>Nařízení Vlády č. 194/2022 Sb. (dříve V</w:t>
      </w:r>
      <w:r w:rsidRPr="00771285">
        <w:rPr>
          <w:sz w:val="20"/>
          <w:szCs w:val="20"/>
        </w:rPr>
        <w:t>yhl.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83623">
    <w:abstractNumId w:val="3"/>
  </w:num>
  <w:num w:numId="2" w16cid:durableId="2114394624">
    <w:abstractNumId w:val="1"/>
  </w:num>
  <w:num w:numId="3" w16cid:durableId="1728458802">
    <w:abstractNumId w:val="0"/>
  </w:num>
  <w:num w:numId="4" w16cid:durableId="1971014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0A4C0C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Petra Jedličková</cp:lastModifiedBy>
  <cp:revision>2</cp:revision>
  <dcterms:created xsi:type="dcterms:W3CDTF">2022-11-09T13:02:00Z</dcterms:created>
  <dcterms:modified xsi:type="dcterms:W3CDTF">2022-11-09T13:02:00Z</dcterms:modified>
</cp:coreProperties>
</file>